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>
        <w:rPr>
          <w:rFonts w:ascii="Verdana" w:hAnsi="Verdana"/>
          <w:sz w:val="18"/>
          <w:szCs w:val="18"/>
        </w:rPr>
        <w:t>„</w:t>
      </w:r>
      <w:r w:rsidR="00C32085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C32085">
        <w:rPr>
          <w:rFonts w:ascii="Verdana" w:hAnsi="Verdana"/>
          <w:sz w:val="18"/>
          <w:szCs w:val="18"/>
        </w:rPr>
        <w:t>žst</w:t>
      </w:r>
      <w:proofErr w:type="spellEnd"/>
      <w:r w:rsidR="00C32085">
        <w:rPr>
          <w:rFonts w:ascii="Verdana" w:hAnsi="Verdana"/>
          <w:sz w:val="18"/>
          <w:szCs w:val="18"/>
        </w:rPr>
        <w:t>. Vimperk a zas. Vimperk“</w:t>
      </w:r>
      <w:bookmarkEnd w:id="0"/>
      <w:r w:rsidR="00C32085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C32085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DC2C84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2020-05-15T10:43:00Z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